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A6A" w:rsidRPr="00EF6A6A" w:rsidRDefault="00EF6A6A" w:rsidP="00EF6A6A">
      <w:pPr>
        <w:shd w:val="clear" w:color="auto" w:fill="FFFFFF"/>
        <w:spacing w:after="100" w:afterAutospacing="1" w:line="240" w:lineRule="auto"/>
        <w:outlineLvl w:val="1"/>
        <w:rPr>
          <w:rFonts w:ascii="Times New Roman" w:eastAsia="Times New Roman" w:hAnsi="Times New Roman" w:cs="Times New Roman"/>
          <w:color w:val="333333"/>
          <w:spacing w:val="-5"/>
          <w:sz w:val="36"/>
          <w:szCs w:val="36"/>
          <w:lang w:eastAsia="vi-VN"/>
        </w:rPr>
      </w:pPr>
      <w:r w:rsidRPr="00EF6A6A">
        <w:rPr>
          <w:rFonts w:ascii="Times New Roman" w:eastAsia="Times New Roman" w:hAnsi="Times New Roman" w:cs="Times New Roman"/>
          <w:b/>
          <w:bCs/>
          <w:color w:val="333333"/>
          <w:spacing w:val="-5"/>
          <w:sz w:val="36"/>
          <w:szCs w:val="36"/>
          <w:lang w:eastAsia="vi-VN"/>
        </w:rPr>
        <w:t>Quyết định 612/QĐ-UBDT</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3855"/>
        <w:gridCol w:w="6345"/>
      </w:tblGrid>
      <w:tr w:rsidR="00EF6A6A" w:rsidRPr="00EF6A6A" w:rsidTr="00EF6A6A">
        <w:tc>
          <w:tcPr>
            <w:tcW w:w="2676" w:type="dxa"/>
            <w:shd w:val="clear" w:color="auto" w:fill="FFFFFF"/>
            <w:vAlign w:val="center"/>
            <w:hideMark/>
          </w:tcPr>
          <w:p w:rsidR="00EF6A6A" w:rsidRPr="00EF6A6A" w:rsidRDefault="00EF6A6A" w:rsidP="00EF6A6A">
            <w:pPr>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ỦY BAN DÂN TỘC</w:t>
            </w:r>
            <w:r w:rsidRPr="00EF6A6A">
              <w:rPr>
                <w:rFonts w:ascii="Arial" w:eastAsia="Times New Roman" w:hAnsi="Arial" w:cs="Arial"/>
                <w:b/>
                <w:bCs/>
                <w:color w:val="333333"/>
                <w:spacing w:val="-5"/>
                <w:sz w:val="24"/>
                <w:szCs w:val="24"/>
                <w:lang w:eastAsia="vi-VN"/>
              </w:rPr>
              <w:br/>
              <w:t>——-</w:t>
            </w:r>
          </w:p>
        </w:tc>
        <w:tc>
          <w:tcPr>
            <w:tcW w:w="4404" w:type="dxa"/>
            <w:shd w:val="clear" w:color="auto" w:fill="FFFFFF"/>
            <w:vAlign w:val="center"/>
            <w:hideMark/>
          </w:tcPr>
          <w:p w:rsidR="00EF6A6A" w:rsidRPr="00EF6A6A" w:rsidRDefault="00EF6A6A" w:rsidP="00EF6A6A">
            <w:pPr>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CỘNG HÒA XÃ HỘI CHỦ NGHĨA VIỆT NAM</w:t>
            </w:r>
            <w:r w:rsidRPr="00EF6A6A">
              <w:rPr>
                <w:rFonts w:ascii="Arial" w:eastAsia="Times New Roman" w:hAnsi="Arial" w:cs="Arial"/>
                <w:b/>
                <w:bCs/>
                <w:color w:val="333333"/>
                <w:spacing w:val="-5"/>
                <w:sz w:val="24"/>
                <w:szCs w:val="24"/>
                <w:lang w:eastAsia="vi-VN"/>
              </w:rPr>
              <w:br/>
              <w:t>Độc lập – Tự do – Hạnh phúc</w:t>
            </w:r>
            <w:r w:rsidRPr="00EF6A6A">
              <w:rPr>
                <w:rFonts w:ascii="Arial" w:eastAsia="Times New Roman" w:hAnsi="Arial" w:cs="Arial"/>
                <w:b/>
                <w:bCs/>
                <w:color w:val="333333"/>
                <w:spacing w:val="-5"/>
                <w:sz w:val="24"/>
                <w:szCs w:val="24"/>
                <w:lang w:eastAsia="vi-VN"/>
              </w:rPr>
              <w:br/>
              <w:t>—————</w:t>
            </w:r>
          </w:p>
        </w:tc>
      </w:tr>
      <w:tr w:rsidR="00EF6A6A" w:rsidRPr="00EF6A6A" w:rsidTr="00EF6A6A">
        <w:tc>
          <w:tcPr>
            <w:tcW w:w="2676" w:type="dxa"/>
            <w:shd w:val="clear" w:color="auto" w:fill="FFFFFF"/>
            <w:vAlign w:val="center"/>
            <w:hideMark/>
          </w:tcPr>
          <w:p w:rsidR="00EF6A6A" w:rsidRPr="00EF6A6A" w:rsidRDefault="00EF6A6A" w:rsidP="00EF6A6A">
            <w:pPr>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Số: 612/QĐ-UBDT</w:t>
            </w:r>
          </w:p>
        </w:tc>
        <w:tc>
          <w:tcPr>
            <w:tcW w:w="4404" w:type="dxa"/>
            <w:shd w:val="clear" w:color="auto" w:fill="FFFFFF"/>
            <w:vAlign w:val="center"/>
            <w:hideMark/>
          </w:tcPr>
          <w:p w:rsidR="00EF6A6A" w:rsidRPr="00EF6A6A" w:rsidRDefault="00EF6A6A" w:rsidP="00EF6A6A">
            <w:pPr>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i/>
                <w:iCs/>
                <w:color w:val="333333"/>
                <w:spacing w:val="-5"/>
                <w:sz w:val="24"/>
                <w:szCs w:val="24"/>
                <w:lang w:eastAsia="vi-VN"/>
              </w:rPr>
              <w:t>Hà Nội, ngày 16 tháng 9 năm 2021</w:t>
            </w:r>
          </w:p>
        </w:tc>
      </w:tr>
    </w:tbl>
    <w:p w:rsidR="00EF6A6A" w:rsidRPr="00EF6A6A" w:rsidRDefault="00EF6A6A" w:rsidP="00EF6A6A">
      <w:pPr>
        <w:shd w:val="clear" w:color="auto" w:fill="FFFFFF"/>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QUYẾT ĐỊNH</w:t>
      </w:r>
    </w:p>
    <w:p w:rsidR="00EF6A6A" w:rsidRPr="00EF6A6A" w:rsidRDefault="00EF6A6A" w:rsidP="00EF6A6A">
      <w:pPr>
        <w:shd w:val="clear" w:color="auto" w:fill="FFFFFF"/>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PHÊ DUYỆT DANH SÁCH CÁC THÔN ĐẶC BIỆT KHÓ KHĂN VÙNG ĐỒNG BÀO DÂN TỘC THIỂU SỐ VÀ MIỀN NÚI GIAI ĐOẠN 2021 – 2025</w:t>
      </w:r>
    </w:p>
    <w:p w:rsidR="00EF6A6A" w:rsidRPr="00EF6A6A" w:rsidRDefault="00EF6A6A" w:rsidP="00EF6A6A">
      <w:pPr>
        <w:shd w:val="clear" w:color="auto" w:fill="FFFFFF"/>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BỘ TRƯỞNG, CHỦ NHIỆM ỦY BAN DÂN TỘC</w:t>
      </w:r>
    </w:p>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i/>
          <w:iCs/>
          <w:color w:val="333333"/>
          <w:spacing w:val="-5"/>
          <w:sz w:val="24"/>
          <w:szCs w:val="24"/>
          <w:lang w:eastAsia="vi-VN"/>
        </w:rPr>
        <w:t>Căn cứ Nghị định 13/2017/NĐ-CP ngày 10 tháng 02 năm 2017 của Chính phủ quy định chức năng, nhiệm vụ, quyền hạn và cơ cấu tổ chức của Ủy ban Dân tộc;</w:t>
      </w:r>
    </w:p>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i/>
          <w:iCs/>
          <w:color w:val="333333"/>
          <w:spacing w:val="-5"/>
          <w:sz w:val="24"/>
          <w:szCs w:val="24"/>
          <w:lang w:eastAsia="vi-VN"/>
        </w:rPr>
        <w:t>Căn cứ Quyết định số 33/2020/QĐ-TTg ngày 12 tháng 11 năm 2020 của Thủ tướng Chính phủ về Tiêu chí phân định vùng đồng bào dân tộc thiểu số và miền núi theo trình độ phát triển giai đoạn 2021-2025;</w:t>
      </w:r>
    </w:p>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i/>
          <w:iCs/>
          <w:color w:val="333333"/>
          <w:spacing w:val="-5"/>
          <w:sz w:val="24"/>
          <w:szCs w:val="24"/>
          <w:lang w:eastAsia="vi-VN"/>
        </w:rPr>
        <w:t>Xét đề nghị của Vụ trưởng Vụ Chính sách Dân tộc.</w:t>
      </w:r>
    </w:p>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QUYẾT ĐỊNH:</w:t>
      </w:r>
    </w:p>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Điều 1. </w:t>
      </w:r>
      <w:r w:rsidRPr="00EF6A6A">
        <w:rPr>
          <w:rFonts w:ascii="Arial" w:eastAsia="Times New Roman" w:hAnsi="Arial" w:cs="Arial"/>
          <w:color w:val="333333"/>
          <w:spacing w:val="-5"/>
          <w:sz w:val="24"/>
          <w:szCs w:val="24"/>
          <w:lang w:eastAsia="vi-VN"/>
        </w:rPr>
        <w:t>Phê duyệt danh sách 13.222 thôn đặc biệt khó khăn, bao gồm: 11.179 thôn của xã khu vực III; 736 thôn của xã khu vực II, 1.184 thôn của xã khu vực I và 123 thôn của các xã có thôn thuộc vùng đồng bào dân tộc thiểu số và miền núi trên địa bàn 41 tỉnh, thành phố trực thuộc Trung ương </w:t>
      </w:r>
      <w:r w:rsidRPr="00EF6A6A">
        <w:rPr>
          <w:rFonts w:ascii="Arial" w:eastAsia="Times New Roman" w:hAnsi="Arial" w:cs="Arial"/>
          <w:i/>
          <w:iCs/>
          <w:color w:val="333333"/>
          <w:spacing w:val="-5"/>
          <w:sz w:val="24"/>
          <w:szCs w:val="24"/>
          <w:lang w:eastAsia="vi-VN"/>
        </w:rPr>
        <w:t>(danh sách kèm theo).</w:t>
      </w:r>
    </w:p>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Điều 2. </w:t>
      </w:r>
      <w:r w:rsidRPr="00EF6A6A">
        <w:rPr>
          <w:rFonts w:ascii="Arial" w:eastAsia="Times New Roman" w:hAnsi="Arial" w:cs="Arial"/>
          <w:color w:val="333333"/>
          <w:spacing w:val="-5"/>
          <w:sz w:val="24"/>
          <w:szCs w:val="24"/>
          <w:lang w:eastAsia="vi-VN"/>
        </w:rPr>
        <w:t>Trong quá trình tổ chức thực hiện, nếu có chia tách, sáp nhập, giải thể hoặc đổi tên, Ủy ban nhân dân tỉnh chỉ đạo các Sở, ngành chức năng rà soát, xác định theo tiêu chí và lập hồ sơ theo quy định tại Quyết định số 33/2020/QĐ-TTg ngày 12 tháng 11 năm 2020 của Thủ tướng Chính phủ gửi Ủy ban Dân tộc tổng hợp, thẩm định và quyết định điều chỉnh, bổ sung.</w:t>
      </w:r>
    </w:p>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Điều 3. </w:t>
      </w:r>
      <w:r w:rsidRPr="00EF6A6A">
        <w:rPr>
          <w:rFonts w:ascii="Arial" w:eastAsia="Times New Roman" w:hAnsi="Arial" w:cs="Arial"/>
          <w:color w:val="333333"/>
          <w:spacing w:val="-5"/>
          <w:sz w:val="24"/>
          <w:szCs w:val="24"/>
          <w:lang w:eastAsia="vi-VN"/>
        </w:rPr>
        <w:t>Quyết định này có hiệu lực kể từ ngày ký ban hành và thay thế Quyết định số 433/QĐ-UBDT ngày 18 tháng 6 năm 2021 của Bộ trưởng, Chủ nhiệm Ủy ban Dân tộc về Phê duyệt danh sách thôn đặc biệt khó khăn vùng đồng bào dân tộc thiểu số và miền núi giai đoạn 2021-2025.</w:t>
      </w:r>
    </w:p>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Điều 4. </w:t>
      </w:r>
      <w:r w:rsidRPr="00EF6A6A">
        <w:rPr>
          <w:rFonts w:ascii="Arial" w:eastAsia="Times New Roman" w:hAnsi="Arial" w:cs="Arial"/>
          <w:color w:val="333333"/>
          <w:spacing w:val="-5"/>
          <w:sz w:val="24"/>
          <w:szCs w:val="24"/>
          <w:lang w:eastAsia="vi-VN"/>
        </w:rPr>
        <w:t>Bộ trưởng, Thủ trưởng cơ quan ngang Bộ, Thủ trưởng cơ quan thuộc Chính phủ, Chủ tịch Ủy ban nhân dân các tỉnh, thành phố trực thuộc Trung ương chịu trách nhiệm thi hành Quyết định này./.</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5420"/>
        <w:gridCol w:w="4780"/>
      </w:tblGrid>
      <w:tr w:rsidR="00EF6A6A" w:rsidRPr="00EF6A6A" w:rsidTr="00EF6A6A">
        <w:tc>
          <w:tcPr>
            <w:tcW w:w="3756" w:type="dxa"/>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i/>
                <w:iCs/>
                <w:color w:val="333333"/>
                <w:spacing w:val="-5"/>
                <w:sz w:val="24"/>
                <w:szCs w:val="24"/>
                <w:lang w:eastAsia="vi-VN"/>
              </w:rPr>
              <w:t>Nơi nhận:</w:t>
            </w:r>
            <w:r w:rsidRPr="00EF6A6A">
              <w:rPr>
                <w:rFonts w:ascii="Arial" w:eastAsia="Times New Roman" w:hAnsi="Arial" w:cs="Arial"/>
                <w:b/>
                <w:bCs/>
                <w:i/>
                <w:iCs/>
                <w:color w:val="333333"/>
                <w:spacing w:val="-5"/>
                <w:sz w:val="24"/>
                <w:szCs w:val="24"/>
                <w:lang w:eastAsia="vi-VN"/>
              </w:rPr>
              <w:br/>
            </w:r>
            <w:r w:rsidRPr="00EF6A6A">
              <w:rPr>
                <w:rFonts w:ascii="Arial" w:eastAsia="Times New Roman" w:hAnsi="Arial" w:cs="Arial"/>
                <w:color w:val="333333"/>
                <w:spacing w:val="-5"/>
                <w:sz w:val="24"/>
                <w:szCs w:val="24"/>
                <w:lang w:eastAsia="vi-VN"/>
              </w:rPr>
              <w:t>– Ban Bí thư Trung ương Đảng;</w:t>
            </w:r>
            <w:r w:rsidRPr="00EF6A6A">
              <w:rPr>
                <w:rFonts w:ascii="Arial" w:eastAsia="Times New Roman" w:hAnsi="Arial" w:cs="Arial"/>
                <w:color w:val="333333"/>
                <w:spacing w:val="-5"/>
                <w:sz w:val="24"/>
                <w:szCs w:val="24"/>
                <w:lang w:eastAsia="vi-VN"/>
              </w:rPr>
              <w:br/>
              <w:t>– Thủ tướng, các Phó Thủ tướng Chính phủ;</w:t>
            </w:r>
            <w:r w:rsidRPr="00EF6A6A">
              <w:rPr>
                <w:rFonts w:ascii="Arial" w:eastAsia="Times New Roman" w:hAnsi="Arial" w:cs="Arial"/>
                <w:color w:val="333333"/>
                <w:spacing w:val="-5"/>
                <w:sz w:val="24"/>
                <w:szCs w:val="24"/>
                <w:lang w:eastAsia="vi-VN"/>
              </w:rPr>
              <w:br/>
              <w:t>– Các bộ, cơ quan ngang bộ, cơ quan thuộc Chính phủ;</w:t>
            </w:r>
            <w:r w:rsidRPr="00EF6A6A">
              <w:rPr>
                <w:rFonts w:ascii="Arial" w:eastAsia="Times New Roman" w:hAnsi="Arial" w:cs="Arial"/>
                <w:color w:val="333333"/>
                <w:spacing w:val="-5"/>
                <w:sz w:val="24"/>
                <w:szCs w:val="24"/>
                <w:lang w:eastAsia="vi-VN"/>
              </w:rPr>
              <w:br/>
            </w:r>
            <w:r w:rsidRPr="00EF6A6A">
              <w:rPr>
                <w:rFonts w:ascii="Arial" w:eastAsia="Times New Roman" w:hAnsi="Arial" w:cs="Arial"/>
                <w:color w:val="333333"/>
                <w:spacing w:val="-5"/>
                <w:sz w:val="24"/>
                <w:szCs w:val="24"/>
                <w:lang w:eastAsia="vi-VN"/>
              </w:rPr>
              <w:lastRenderedPageBreak/>
              <w:t>– HĐND, UBND các tỉnh, TP trực thuộc TW;</w:t>
            </w:r>
            <w:r w:rsidRPr="00EF6A6A">
              <w:rPr>
                <w:rFonts w:ascii="Arial" w:eastAsia="Times New Roman" w:hAnsi="Arial" w:cs="Arial"/>
                <w:color w:val="333333"/>
                <w:spacing w:val="-5"/>
                <w:sz w:val="24"/>
                <w:szCs w:val="24"/>
                <w:lang w:eastAsia="vi-VN"/>
              </w:rPr>
              <w:br/>
              <w:t>– Văn phòng Trung ương và các Ban của Đảng;</w:t>
            </w:r>
            <w:r w:rsidRPr="00EF6A6A">
              <w:rPr>
                <w:rFonts w:ascii="Arial" w:eastAsia="Times New Roman" w:hAnsi="Arial" w:cs="Arial"/>
                <w:color w:val="333333"/>
                <w:spacing w:val="-5"/>
                <w:sz w:val="24"/>
                <w:szCs w:val="24"/>
                <w:lang w:eastAsia="vi-VN"/>
              </w:rPr>
              <w:br/>
              <w:t>– Văn phòng Tổng Bí thư;</w:t>
            </w:r>
            <w:r w:rsidRPr="00EF6A6A">
              <w:rPr>
                <w:rFonts w:ascii="Arial" w:eastAsia="Times New Roman" w:hAnsi="Arial" w:cs="Arial"/>
                <w:color w:val="333333"/>
                <w:spacing w:val="-5"/>
                <w:sz w:val="24"/>
                <w:szCs w:val="24"/>
                <w:lang w:eastAsia="vi-VN"/>
              </w:rPr>
              <w:br/>
              <w:t>– Văn phòng Chủ tịch nước;</w:t>
            </w:r>
            <w:r w:rsidRPr="00EF6A6A">
              <w:rPr>
                <w:rFonts w:ascii="Arial" w:eastAsia="Times New Roman" w:hAnsi="Arial" w:cs="Arial"/>
                <w:color w:val="333333"/>
                <w:spacing w:val="-5"/>
                <w:sz w:val="24"/>
                <w:szCs w:val="24"/>
                <w:lang w:eastAsia="vi-VN"/>
              </w:rPr>
              <w:br/>
              <w:t>– Hội đồng Dân tộc và các Ủy ban của Quốc hội;</w:t>
            </w:r>
            <w:r w:rsidRPr="00EF6A6A">
              <w:rPr>
                <w:rFonts w:ascii="Arial" w:eastAsia="Times New Roman" w:hAnsi="Arial" w:cs="Arial"/>
                <w:color w:val="333333"/>
                <w:spacing w:val="-5"/>
                <w:sz w:val="24"/>
                <w:szCs w:val="24"/>
                <w:lang w:eastAsia="vi-VN"/>
              </w:rPr>
              <w:br/>
              <w:t>– Văn phòng Quốc hội;</w:t>
            </w:r>
            <w:r w:rsidRPr="00EF6A6A">
              <w:rPr>
                <w:rFonts w:ascii="Arial" w:eastAsia="Times New Roman" w:hAnsi="Arial" w:cs="Arial"/>
                <w:color w:val="333333"/>
                <w:spacing w:val="-5"/>
                <w:sz w:val="24"/>
                <w:szCs w:val="24"/>
                <w:lang w:eastAsia="vi-VN"/>
              </w:rPr>
              <w:br/>
              <w:t>– Văn phòng Chính phủ;</w:t>
            </w:r>
            <w:r w:rsidRPr="00EF6A6A">
              <w:rPr>
                <w:rFonts w:ascii="Arial" w:eastAsia="Times New Roman" w:hAnsi="Arial" w:cs="Arial"/>
                <w:color w:val="333333"/>
                <w:spacing w:val="-5"/>
                <w:sz w:val="24"/>
                <w:szCs w:val="24"/>
                <w:lang w:eastAsia="vi-VN"/>
              </w:rPr>
              <w:br/>
              <w:t>– Tòa án nhân dân tối cao;</w:t>
            </w:r>
            <w:r w:rsidRPr="00EF6A6A">
              <w:rPr>
                <w:rFonts w:ascii="Arial" w:eastAsia="Times New Roman" w:hAnsi="Arial" w:cs="Arial"/>
                <w:color w:val="333333"/>
                <w:spacing w:val="-5"/>
                <w:sz w:val="24"/>
                <w:szCs w:val="24"/>
                <w:lang w:eastAsia="vi-VN"/>
              </w:rPr>
              <w:br/>
              <w:t>– Viện Kiểm sát nhân dân tối cao;</w:t>
            </w:r>
            <w:r w:rsidRPr="00EF6A6A">
              <w:rPr>
                <w:rFonts w:ascii="Arial" w:eastAsia="Times New Roman" w:hAnsi="Arial" w:cs="Arial"/>
                <w:color w:val="333333"/>
                <w:spacing w:val="-5"/>
                <w:sz w:val="24"/>
                <w:szCs w:val="24"/>
                <w:lang w:eastAsia="vi-VN"/>
              </w:rPr>
              <w:br/>
              <w:t>– Kiểm toán Nhà nước;</w:t>
            </w:r>
            <w:r w:rsidRPr="00EF6A6A">
              <w:rPr>
                <w:rFonts w:ascii="Arial" w:eastAsia="Times New Roman" w:hAnsi="Arial" w:cs="Arial"/>
                <w:color w:val="333333"/>
                <w:spacing w:val="-5"/>
                <w:sz w:val="24"/>
                <w:szCs w:val="24"/>
                <w:lang w:eastAsia="vi-VN"/>
              </w:rPr>
              <w:br/>
              <w:t>– Ủy ban Giám sát tài chính Quốc gia;</w:t>
            </w:r>
            <w:r w:rsidRPr="00EF6A6A">
              <w:rPr>
                <w:rFonts w:ascii="Arial" w:eastAsia="Times New Roman" w:hAnsi="Arial" w:cs="Arial"/>
                <w:color w:val="333333"/>
                <w:spacing w:val="-5"/>
                <w:sz w:val="24"/>
                <w:szCs w:val="24"/>
                <w:lang w:eastAsia="vi-VN"/>
              </w:rPr>
              <w:br/>
              <w:t>– Ngân hàng Chính sách Xã hội;</w:t>
            </w:r>
            <w:r w:rsidRPr="00EF6A6A">
              <w:rPr>
                <w:rFonts w:ascii="Arial" w:eastAsia="Times New Roman" w:hAnsi="Arial" w:cs="Arial"/>
                <w:color w:val="333333"/>
                <w:spacing w:val="-5"/>
                <w:sz w:val="24"/>
                <w:szCs w:val="24"/>
                <w:lang w:eastAsia="vi-VN"/>
              </w:rPr>
              <w:br/>
              <w:t>– Ngân hàng Phát triển Việt Nam;</w:t>
            </w:r>
            <w:r w:rsidRPr="00EF6A6A">
              <w:rPr>
                <w:rFonts w:ascii="Arial" w:eastAsia="Times New Roman" w:hAnsi="Arial" w:cs="Arial"/>
                <w:color w:val="333333"/>
                <w:spacing w:val="-5"/>
                <w:sz w:val="24"/>
                <w:szCs w:val="24"/>
                <w:lang w:eastAsia="vi-VN"/>
              </w:rPr>
              <w:br/>
              <w:t>– Ủy ban Trung ương Mặt trận Tổ quốc Việt Nam;</w:t>
            </w:r>
            <w:r w:rsidRPr="00EF6A6A">
              <w:rPr>
                <w:rFonts w:ascii="Arial" w:eastAsia="Times New Roman" w:hAnsi="Arial" w:cs="Arial"/>
                <w:color w:val="333333"/>
                <w:spacing w:val="-5"/>
                <w:sz w:val="24"/>
                <w:szCs w:val="24"/>
                <w:lang w:eastAsia="vi-VN"/>
              </w:rPr>
              <w:br/>
              <w:t>– Cơ quan Trung ương của các đoàn thể;</w:t>
            </w:r>
            <w:r w:rsidRPr="00EF6A6A">
              <w:rPr>
                <w:rFonts w:ascii="Arial" w:eastAsia="Times New Roman" w:hAnsi="Arial" w:cs="Arial"/>
                <w:color w:val="333333"/>
                <w:spacing w:val="-5"/>
                <w:sz w:val="24"/>
                <w:szCs w:val="24"/>
                <w:lang w:eastAsia="vi-VN"/>
              </w:rPr>
              <w:br/>
              <w:t>– Các Vụ, đơn vị của UBDT;</w:t>
            </w:r>
            <w:r w:rsidRPr="00EF6A6A">
              <w:rPr>
                <w:rFonts w:ascii="Arial" w:eastAsia="Times New Roman" w:hAnsi="Arial" w:cs="Arial"/>
                <w:color w:val="333333"/>
                <w:spacing w:val="-5"/>
                <w:sz w:val="24"/>
                <w:szCs w:val="24"/>
                <w:lang w:eastAsia="vi-VN"/>
              </w:rPr>
              <w:br/>
              <w:t>– Lưu: VT, CSDT.</w:t>
            </w:r>
          </w:p>
        </w:tc>
        <w:tc>
          <w:tcPr>
            <w:tcW w:w="3312" w:type="dxa"/>
            <w:shd w:val="clear" w:color="auto" w:fill="FFFFFF"/>
            <w:vAlign w:val="center"/>
            <w:hideMark/>
          </w:tcPr>
          <w:p w:rsidR="00EF6A6A" w:rsidRPr="00EF6A6A" w:rsidRDefault="00EF6A6A" w:rsidP="00EF6A6A">
            <w:pPr>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lastRenderedPageBreak/>
              <w:t>BỘ TRƯỞNG, CHỦ NHIỆM</w:t>
            </w:r>
            <w:r w:rsidRPr="00EF6A6A">
              <w:rPr>
                <w:rFonts w:ascii="Arial" w:eastAsia="Times New Roman" w:hAnsi="Arial" w:cs="Arial"/>
                <w:b/>
                <w:bCs/>
                <w:color w:val="333333"/>
                <w:spacing w:val="-5"/>
                <w:sz w:val="24"/>
                <w:szCs w:val="24"/>
                <w:lang w:eastAsia="vi-VN"/>
              </w:rPr>
              <w:br/>
            </w:r>
            <w:r w:rsidRPr="00EF6A6A">
              <w:rPr>
                <w:rFonts w:ascii="Arial" w:eastAsia="Times New Roman" w:hAnsi="Arial" w:cs="Arial"/>
                <w:b/>
                <w:bCs/>
                <w:color w:val="333333"/>
                <w:spacing w:val="-5"/>
                <w:sz w:val="24"/>
                <w:szCs w:val="24"/>
                <w:lang w:eastAsia="vi-VN"/>
              </w:rPr>
              <w:br/>
            </w:r>
            <w:r w:rsidRPr="00EF6A6A">
              <w:rPr>
                <w:rFonts w:ascii="Arial" w:eastAsia="Times New Roman" w:hAnsi="Arial" w:cs="Arial"/>
                <w:b/>
                <w:bCs/>
                <w:color w:val="333333"/>
                <w:spacing w:val="-5"/>
                <w:sz w:val="24"/>
                <w:szCs w:val="24"/>
                <w:lang w:eastAsia="vi-VN"/>
              </w:rPr>
              <w:br/>
            </w:r>
            <w:r w:rsidRPr="00EF6A6A">
              <w:rPr>
                <w:rFonts w:ascii="Arial" w:eastAsia="Times New Roman" w:hAnsi="Arial" w:cs="Arial"/>
                <w:b/>
                <w:bCs/>
                <w:color w:val="333333"/>
                <w:spacing w:val="-5"/>
                <w:sz w:val="24"/>
                <w:szCs w:val="24"/>
                <w:lang w:eastAsia="vi-VN"/>
              </w:rPr>
              <w:br/>
            </w:r>
            <w:r w:rsidRPr="00EF6A6A">
              <w:rPr>
                <w:rFonts w:ascii="Arial" w:eastAsia="Times New Roman" w:hAnsi="Arial" w:cs="Arial"/>
                <w:b/>
                <w:bCs/>
                <w:color w:val="333333"/>
                <w:spacing w:val="-5"/>
                <w:sz w:val="24"/>
                <w:szCs w:val="24"/>
                <w:lang w:eastAsia="vi-VN"/>
              </w:rPr>
              <w:lastRenderedPageBreak/>
              <w:br/>
              <w:t>Hầu A Lềnh</w:t>
            </w:r>
          </w:p>
        </w:tc>
      </w:tr>
    </w:tbl>
    <w:p w:rsidR="00EF6A6A" w:rsidRPr="00EF6A6A" w:rsidRDefault="00EF6A6A" w:rsidP="00ED63A0">
      <w:pPr>
        <w:shd w:val="clear" w:color="auto" w:fill="FFFFFF"/>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lastRenderedPageBreak/>
        <w:t>DANH SÁCH</w:t>
      </w:r>
      <w:bookmarkStart w:id="0" w:name="_GoBack"/>
      <w:bookmarkEnd w:id="0"/>
      <w:r w:rsidRPr="00EF6A6A">
        <w:rPr>
          <w:rFonts w:ascii="Arial" w:eastAsia="Times New Roman" w:hAnsi="Arial" w:cs="Arial"/>
          <w:b/>
          <w:bCs/>
          <w:color w:val="333333"/>
          <w:spacing w:val="-5"/>
          <w:sz w:val="24"/>
          <w:szCs w:val="24"/>
          <w:lang w:eastAsia="vi-VN"/>
        </w:rPr>
        <w:t>DANH SÁCH</w:t>
      </w:r>
    </w:p>
    <w:p w:rsidR="00EF6A6A" w:rsidRPr="00EF6A6A" w:rsidRDefault="00EF6A6A" w:rsidP="00EF6A6A">
      <w:pPr>
        <w:shd w:val="clear" w:color="auto" w:fill="FFFFFF"/>
        <w:spacing w:after="100" w:afterAutospacing="1" w:line="240" w:lineRule="auto"/>
        <w:jc w:val="center"/>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ĐẶC BIỆT KHÓ KHĂN THUỘC VÙNG DÂN TỘC THIỂU SỐ VÀ MIỀN NÚI TỈNH BÌNH PHƯỚC GIAI ĐOẠN 2021 – 2025</w:t>
      </w:r>
      <w:r w:rsidRPr="00EF6A6A">
        <w:rPr>
          <w:rFonts w:ascii="Arial" w:eastAsia="Times New Roman" w:hAnsi="Arial" w:cs="Arial"/>
          <w:color w:val="333333"/>
          <w:spacing w:val="-5"/>
          <w:sz w:val="24"/>
          <w:szCs w:val="24"/>
          <w:lang w:eastAsia="vi-VN"/>
        </w:rPr>
        <w:br/>
      </w:r>
      <w:r w:rsidRPr="00EF6A6A">
        <w:rPr>
          <w:rFonts w:ascii="Arial" w:eastAsia="Times New Roman" w:hAnsi="Arial" w:cs="Arial"/>
          <w:i/>
          <w:iCs/>
          <w:color w:val="333333"/>
          <w:spacing w:val="-5"/>
          <w:sz w:val="24"/>
          <w:szCs w:val="24"/>
          <w:lang w:eastAsia="vi-VN"/>
        </w:rPr>
        <w:t>(Kèm theo Quyết định số 612/QĐ-UBDT ngày 16 tháng 9 năm 2021 của Bộ trưởng, Chủ nhiệm Ủy ban Dân tộc)</w:t>
      </w:r>
    </w:p>
    <w:tbl>
      <w:tblPr>
        <w:tblW w:w="10200" w:type="dxa"/>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7"/>
        <w:gridCol w:w="6696"/>
        <w:gridCol w:w="2577"/>
      </w:tblGrid>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TT</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Tên huyện, xã, thôn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Số thôn ĐBKK</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Tổng cộng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46</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Xã có thôn vùng DTTS&amp;MN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4</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Xã khu vực I</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13</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Xã khu vực II</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8</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Xã khu vực III</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21</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HUYỆN BÙ ĐỐP</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1</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Thanh Hòa</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5</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8</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2</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Hưng Phước</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Bù Tam</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3</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Phước Thiện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II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Điện Ảnh</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Mười Mẫu</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4</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Tân Tiến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Sóc Nê</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II</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HUYỆN BÙ GIA MẬP</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1</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Bù Gia Mập</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III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Bù La</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Bù Nga</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Đắk Á</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lastRenderedPageBreak/>
              <w:t>2</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Đắk Ơ</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III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Bù Ka</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6</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Bù Bưng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Bù Khơn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3</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10</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3</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Phước Minh</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II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Bình Giai</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Bù Tam</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4</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Bình Thắng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9</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5</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Phú Văn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III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Thác Dài</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Đặk Son 2</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Đặk Khâu</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6</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Đức Hạnh</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Bù Kroai</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III</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HUYỆN LỘC NINH</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1</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Lộc Hòa</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Suối Thôn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2</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Lộc Thành</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K Liêu</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Tà Tê 1</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Lộc Bình 1</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3</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Lộc Khánh</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Ba Ven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Chà Đôn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Sóc Lớn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Cần Lê</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4</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Lộc Phú</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III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Bù Linh</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Vẻ Vang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Bù Nồm</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Soor Rung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Tân Hai</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5</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Lộc Quang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III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Chàng Hai</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Bù Tam</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Bồn Xăng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Ấp Việt Quang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IV</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HUYỆN PHÚ RIỀNG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1</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Long Tân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6</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V</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HUYỆN BÙ ĐĂNG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1</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Đăk Nhau</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Đak Nung</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Đak La</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2</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Đăng Hà</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5</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3</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Đường 10</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1</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Times New Roman" w:eastAsia="Times New Roman" w:hAnsi="Times New Roman" w:cs="Times New Roman"/>
                <w:sz w:val="20"/>
                <w:szCs w:val="20"/>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5</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4</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Xã Thống Nhất</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b/>
                <w:bCs/>
                <w:color w:val="333333"/>
                <w:spacing w:val="-5"/>
                <w:sz w:val="24"/>
                <w:szCs w:val="24"/>
                <w:lang w:eastAsia="vi-VN"/>
              </w:rPr>
              <w:t>I</w:t>
            </w:r>
          </w:p>
        </w:tc>
      </w:tr>
      <w:tr w:rsidR="00EF6A6A" w:rsidRPr="00EF6A6A" w:rsidTr="00EF6A6A">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Thôn 10</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F6A6A" w:rsidRPr="00EF6A6A" w:rsidRDefault="00EF6A6A" w:rsidP="00EF6A6A">
            <w:pPr>
              <w:spacing w:after="0" w:line="240" w:lineRule="auto"/>
              <w:rPr>
                <w:rFonts w:ascii="Arial" w:eastAsia="Times New Roman" w:hAnsi="Arial" w:cs="Arial"/>
                <w:color w:val="333333"/>
                <w:spacing w:val="-5"/>
                <w:sz w:val="24"/>
                <w:szCs w:val="24"/>
                <w:lang w:eastAsia="vi-VN"/>
              </w:rPr>
            </w:pPr>
          </w:p>
        </w:tc>
      </w:tr>
    </w:tbl>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w:t>
      </w:r>
    </w:p>
    <w:p w:rsidR="00EF6A6A" w:rsidRPr="00EF6A6A" w:rsidRDefault="00EF6A6A" w:rsidP="00EF6A6A">
      <w:pPr>
        <w:shd w:val="clear" w:color="auto" w:fill="FFFFFF"/>
        <w:spacing w:after="100" w:afterAutospacing="1" w:line="240" w:lineRule="auto"/>
        <w:rPr>
          <w:rFonts w:ascii="Arial" w:eastAsia="Times New Roman" w:hAnsi="Arial" w:cs="Arial"/>
          <w:color w:val="333333"/>
          <w:spacing w:val="-5"/>
          <w:sz w:val="24"/>
          <w:szCs w:val="24"/>
          <w:lang w:eastAsia="vi-VN"/>
        </w:rPr>
      </w:pPr>
      <w:r w:rsidRPr="00EF6A6A">
        <w:rPr>
          <w:rFonts w:ascii="Arial" w:eastAsia="Times New Roman" w:hAnsi="Arial" w:cs="Arial"/>
          <w:color w:val="333333"/>
          <w:spacing w:val="-5"/>
          <w:sz w:val="24"/>
          <w:szCs w:val="24"/>
          <w:lang w:eastAsia="vi-VN"/>
        </w:rPr>
        <w:t>Mời các bạn sử dụng file tải về để xem chi tiết danh sách thôn đặc biệt khó khăn giai đoạn 2021-2025 trên toàn quốc.</w:t>
      </w:r>
    </w:p>
    <w:p w:rsidR="001151D0" w:rsidRDefault="001151D0"/>
    <w:sectPr w:rsidR="001151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6A"/>
    <w:rsid w:val="001151D0"/>
    <w:rsid w:val="00ED63A0"/>
    <w:rsid w:val="00EF6A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F259-25B8-4C10-B3B2-29DECAD4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F6A6A"/>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6A6A"/>
    <w:rPr>
      <w:rFonts w:ascii="Times New Roman" w:eastAsia="Times New Roman" w:hAnsi="Times New Roman" w:cs="Times New Roman"/>
      <w:b/>
      <w:bCs/>
      <w:sz w:val="36"/>
      <w:szCs w:val="36"/>
      <w:lang w:eastAsia="vi-VN"/>
    </w:rPr>
  </w:style>
  <w:style w:type="paragraph" w:customStyle="1" w:styleId="msonormal0">
    <w:name w:val="msonormal"/>
    <w:basedOn w:val="Normal"/>
    <w:rsid w:val="00EF6A6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F6A6A"/>
    <w:rPr>
      <w:b/>
      <w:bCs/>
    </w:rPr>
  </w:style>
  <w:style w:type="paragraph" w:styleId="NormalWeb">
    <w:name w:val="Normal (Web)"/>
    <w:basedOn w:val="Normal"/>
    <w:uiPriority w:val="99"/>
    <w:semiHidden/>
    <w:unhideWhenUsed/>
    <w:rsid w:val="00EF6A6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EF6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83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2022-03-07T18:12:00Z</dcterms:created>
  <dcterms:modified xsi:type="dcterms:W3CDTF">2022-03-15T23:20:00Z</dcterms:modified>
</cp:coreProperties>
</file>